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3" name="image2.png"/>
            <a:graphic>
              <a:graphicData uri="http://schemas.openxmlformats.org/drawingml/2006/picture">
                <pic:pic>
                  <pic:nvPicPr>
                    <pic:cNvPr descr="DISTRICT_Letterhead Top_2019_fo" id="0" name="image2.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6, 2023</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Parents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educational progress for Heights Elementary School. The AER addresses the complex reporting information required by federal and state laws. The school’s report contains information about student assessment, accountability, and teacher quality. If you have any questions about the AER, please contact Kevin Derr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 </w:t>
      </w:r>
      <w:r w:rsidDel="00000000" w:rsidR="00000000" w:rsidRPr="00000000">
        <w:rPr>
          <w:rFonts w:ascii="Verdana" w:cs="Verdana" w:eastAsia="Verdana" w:hAnsi="Verdana"/>
          <w:b w:val="1"/>
          <w:color w:val="000000"/>
          <w:sz w:val="22"/>
          <w:szCs w:val="22"/>
          <w:rtl w:val="0"/>
        </w:rPr>
        <w:t xml:space="preserve">https://www.mischooldata.org/</w:t>
      </w:r>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shd w:fill="b4a7d6" w:val="clear"/>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one of these labels.</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At Holland Heights, our goal is to improve student learning every year.  We work hard to assist our students in reaching their learning goals.  We know that there are challenges for some of our learners, but we are determined to overcome those challenges.  The staff at Holland Heights work tirelessly to support the learning of our students and go above and beyond in working to improve student achievement.  Tier One instruction is something we are always working to make stronger, which we know will improve student achievement. This year we have been able to scale back the Covid protocols from the previous years, so teachers are now able to get back to some of the best practices they were using before the limits they were given during Covid.  The focus in grades TK-2 is early literacy.   The students who need the most support at Holland Heights are our Students with Disabilities, EL learners and our Economically Disadvantaged students.  We continue to provide support for those learners academically and social-emotionally. We also offer Tier 2 instruction for students in K-5.  Students are given additional reading and math support from our Tier 2 provider and her assistant based on their individual needs daily.</w:t>
      </w:r>
      <w:r w:rsidDel="00000000" w:rsidR="00000000" w:rsidRPr="00000000">
        <w:rPr>
          <w:rtl w:val="0"/>
        </w:rPr>
      </w:r>
    </w:p>
    <w:p w:rsidR="00000000" w:rsidDel="00000000" w:rsidP="00000000" w:rsidRDefault="00000000" w:rsidRPr="00000000" w14:paraId="00000011">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State law requires that we also report additional information</w:t>
      </w:r>
    </w:p>
    <w:p w:rsidR="00000000" w:rsidDel="00000000" w:rsidP="00000000" w:rsidRDefault="00000000" w:rsidRPr="00000000" w14:paraId="00000013">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PROCESS FOR ASSIGNING PUPILS TO THE SCHOOL</w:t>
      </w:r>
    </w:p>
    <w:p w:rsidR="00000000" w:rsidDel="00000000" w:rsidP="00000000" w:rsidRDefault="00000000" w:rsidRPr="00000000" w14:paraId="00000015">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Board Policy 5120 - ASSIGNMENT TO SCHOOL, CLASS, AND GRADE for Holland Public Schools</w:t>
      </w:r>
    </w:p>
    <w:p w:rsidR="00000000" w:rsidDel="00000000" w:rsidP="00000000" w:rsidRDefault="00000000" w:rsidRPr="00000000" w14:paraId="00000016">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17">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18">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School Assignment/Transfer</w:t>
      </w:r>
    </w:p>
    <w:p w:rsidR="00000000" w:rsidDel="00000000" w:rsidP="00000000" w:rsidRDefault="00000000" w:rsidRPr="00000000" w14:paraId="0000001A">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1B">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1C">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1D">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1E">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1F">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Class and Grade Assignment/Transfer</w:t>
      </w:r>
    </w:p>
    <w:p w:rsidR="00000000" w:rsidDel="00000000" w:rsidP="00000000" w:rsidRDefault="00000000" w:rsidRPr="00000000" w14:paraId="00000021">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Assignments to class and grade shall be made by the principal after consultation with relevant staff.</w:t>
      </w:r>
    </w:p>
    <w:p w:rsidR="00000000" w:rsidDel="00000000" w:rsidP="00000000" w:rsidRDefault="00000000" w:rsidRPr="00000000" w14:paraId="00000022">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3">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24">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5">
      <w:pPr>
        <w:numPr>
          <w:ilvl w:val="0"/>
          <w:numId w:val="1"/>
        </w:numPr>
        <w:spacing w:line="276" w:lineRule="auto"/>
        <w:ind w:left="144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procedures shall be followed in a transfer of a student within a school:</w:t>
      </w:r>
    </w:p>
    <w:p w:rsidR="00000000" w:rsidDel="00000000" w:rsidP="00000000" w:rsidRDefault="00000000" w:rsidRPr="00000000" w14:paraId="00000026">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27">
      <w:pPr>
        <w:numPr>
          <w:ilvl w:val="1"/>
          <w:numId w:val="1"/>
        </w:numPr>
        <w:spacing w:line="276" w:lineRule="auto"/>
        <w:ind w:left="2160" w:hanging="36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28">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9">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p>
    <w:p w:rsidR="00000000" w:rsidDel="00000000" w:rsidP="00000000" w:rsidRDefault="00000000" w:rsidRPr="00000000" w14:paraId="0000002A">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STATUS OF THE 3-5 YEAR SCHOOL IMPROVEMENT PLAN</w:t>
      </w:r>
    </w:p>
    <w:p w:rsidR="00000000" w:rsidDel="00000000" w:rsidP="00000000" w:rsidRDefault="00000000" w:rsidRPr="00000000" w14:paraId="0000002C">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At Holland Heights Elementary we are still learning how the new MICIP School Improvement system is being implemented with the rest of the district. We set a district wide goal that had strategies and activities specific to the elementary schools, along with a few that all buildings would be working on.  Much of the work we do on these goals will continue in subsequent years with teacher input during our Continuous School Improvement meetings 3-5 times during the school year.  Our building School Improvement Team is also part of designing the goals in our plan that are specific to Holland Heights.  Our team meets once or twice a month. Similar to last year, we will continue to work with the district on the new MICIP program and add goals along with strategies/activities that are specific to our school.  We will continue to focus on the General Education Leadership Network Essential Practices in Early and Elementary Literacy to better support our learners.  We plan to continue working on those Essential Practices by providing PD to our staff to continue their growth around improving literacy instruction for all of our learners.  We will also begin to look for ways to add more math support for our learners since we have been seeing this as a need from so much lost instructional time from the pandemic. </w:t>
      </w:r>
    </w:p>
    <w:p w:rsidR="00000000" w:rsidDel="00000000" w:rsidP="00000000" w:rsidRDefault="00000000" w:rsidRPr="00000000" w14:paraId="0000002D">
      <w:pPr>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A BRIEF DESCRIPTION OF EACH SPECIALIZED SCHOOL</w:t>
      </w:r>
    </w:p>
    <w:p w:rsidR="00000000" w:rsidDel="00000000" w:rsidP="00000000" w:rsidRDefault="00000000" w:rsidRPr="00000000" w14:paraId="0000002F">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30">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1.  Severe Multiple Impairments Classrooms</w:t>
      </w:r>
    </w:p>
    <w:p w:rsidR="00000000" w:rsidDel="00000000" w:rsidP="00000000" w:rsidRDefault="00000000" w:rsidRPr="00000000" w14:paraId="00000031">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2">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33">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4">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  Early Childhood Special Education Classrooms</w:t>
      </w:r>
    </w:p>
    <w:p w:rsidR="00000000" w:rsidDel="00000000" w:rsidP="00000000" w:rsidRDefault="00000000" w:rsidRPr="00000000" w14:paraId="00000035">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6">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37">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8">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3.  Classrooms for students with Hearing Impairments</w:t>
      </w:r>
    </w:p>
    <w:p w:rsidR="00000000" w:rsidDel="00000000" w:rsidP="00000000" w:rsidRDefault="00000000" w:rsidRPr="00000000" w14:paraId="00000039">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A">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B">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C">
      <w:pPr>
        <w:spacing w:line="276" w:lineRule="auto"/>
        <w:ind w:firstLine="7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4.  Autism Spectrum Disorder Classrooms</w:t>
      </w:r>
    </w:p>
    <w:p w:rsidR="00000000" w:rsidDel="00000000" w:rsidP="00000000" w:rsidRDefault="00000000" w:rsidRPr="00000000" w14:paraId="0000003D">
      <w:pPr>
        <w:spacing w:line="276" w:lineRule="auto"/>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3E">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Three Special Education Programs designed to serve preschool through 12</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ASD.  These classrooms operate according to the regulations defined by the Individuals with Disabilities Education Act (IDEA) and the Michigan Administrative Rules for Special Education (R 340.1758).</w:t>
      </w:r>
    </w:p>
    <w:p w:rsidR="00000000" w:rsidDel="00000000" w:rsidP="00000000" w:rsidRDefault="00000000" w:rsidRPr="00000000" w14:paraId="0000003F">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0">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41">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42">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43">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4">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highlight w:val="white"/>
          <w:rtl w:val="0"/>
        </w:rPr>
        <w:t xml:space="preserve">Michigan Academic Standards Page,</w:t>
      </w:r>
      <w:r w:rsidDel="00000000" w:rsidR="00000000" w:rsidRPr="00000000">
        <w:rPr>
          <w:rFonts w:ascii="Open Sans" w:cs="Open Sans" w:eastAsia="Open Sans" w:hAnsi="Open Sans"/>
          <w:sz w:val="23"/>
          <w:szCs w:val="23"/>
          <w:highlight w:val="white"/>
          <w:rtl w:val="0"/>
        </w:rPr>
        <w:t xml:space="preserve"> on the State of Michigan website: </w:t>
      </w:r>
      <w:hyperlink r:id="rId9">
        <w:r w:rsidDel="00000000" w:rsidR="00000000" w:rsidRPr="00000000">
          <w:rPr>
            <w:rFonts w:ascii="Open Sans" w:cs="Open Sans" w:eastAsia="Open Sans" w:hAnsi="Open Sans"/>
            <w:color w:val="1155cc"/>
            <w:sz w:val="23"/>
            <w:szCs w:val="23"/>
            <w:highlight w:val="white"/>
            <w:u w:val="single"/>
            <w:rtl w:val="0"/>
          </w:rPr>
          <w:t xml:space="preserve">http://www.michigan.gov/mde/0,4615,7-140-28753_64839_65510---,00.html</w:t>
        </w:r>
      </w:hyperlink>
      <w:r w:rsidDel="00000000" w:rsidR="00000000" w:rsidRPr="00000000">
        <w:rPr>
          <w:rFonts w:ascii="Open Sans" w:cs="Open Sans" w:eastAsia="Open Sans" w:hAnsi="Open Sans"/>
          <w:sz w:val="23"/>
          <w:szCs w:val="23"/>
          <w:highlight w:val="white"/>
          <w:rtl w:val="0"/>
        </w:rPr>
        <w:t xml:space="preserve">.</w:t>
      </w:r>
    </w:p>
    <w:p w:rsidR="00000000" w:rsidDel="00000000" w:rsidP="00000000" w:rsidRDefault="00000000" w:rsidRPr="00000000" w14:paraId="00000045">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p>
    <w:p w:rsidR="00000000" w:rsidDel="00000000" w:rsidP="00000000" w:rsidRDefault="00000000" w:rsidRPr="00000000" w14:paraId="00000046">
      <w:pPr>
        <w:spacing w:line="276" w:lineRule="auto"/>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47">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AGGREGATE STUDENT ACHIEVEMENT RESULTS FOR ANY LOCAL COMPETENCY TESTS OR NATIONALLY NORMED ACHIEVEMENT TESTS</w:t>
      </w:r>
    </w:p>
    <w:p w:rsidR="00000000" w:rsidDel="00000000" w:rsidP="00000000" w:rsidRDefault="00000000" w:rsidRPr="00000000" w14:paraId="00000048">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49">
      <w:pPr>
        <w:ind w:left="720" w:firstLine="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The AER is available for you to review electronically by visiting the following website https://bit.ly/3J93yL9, or you may review a copy in the main office at your child’s school.</w:t>
      </w:r>
    </w:p>
    <w:p w:rsidR="00000000" w:rsidDel="00000000" w:rsidP="00000000" w:rsidRDefault="00000000" w:rsidRPr="00000000" w14:paraId="0000004A">
      <w:pPr>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B">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THE NUMBER AND PERCENT OF STUDENTS REPRESENTED BY PARENTS AT PARENT-TEACHER CONFERENCES</w:t>
      </w:r>
    </w:p>
    <w:p w:rsidR="00000000" w:rsidDel="00000000" w:rsidP="00000000" w:rsidRDefault="00000000" w:rsidRPr="00000000" w14:paraId="0000004C">
      <w:pPr>
        <w:spacing w:line="276" w:lineRule="auto"/>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4D">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Fall 2021 - Conferences K - 5 - Remote</w:t>
      </w:r>
    </w:p>
    <w:p w:rsidR="00000000" w:rsidDel="00000000" w:rsidP="00000000" w:rsidRDefault="00000000" w:rsidRPr="00000000" w14:paraId="0000004E">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TK - 83%</w:t>
      </w:r>
    </w:p>
    <w:p w:rsidR="00000000" w:rsidDel="00000000" w:rsidP="00000000" w:rsidRDefault="00000000" w:rsidRPr="00000000" w14:paraId="0000004F">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Kindergarten - 92%</w:t>
      </w:r>
    </w:p>
    <w:p w:rsidR="00000000" w:rsidDel="00000000" w:rsidP="00000000" w:rsidRDefault="00000000" w:rsidRPr="00000000" w14:paraId="00000050">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1st Grade -  93%</w:t>
      </w:r>
    </w:p>
    <w:p w:rsidR="00000000" w:rsidDel="00000000" w:rsidP="00000000" w:rsidRDefault="00000000" w:rsidRPr="00000000" w14:paraId="00000051">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2nd Grade - 79%</w:t>
      </w:r>
    </w:p>
    <w:p w:rsidR="00000000" w:rsidDel="00000000" w:rsidP="00000000" w:rsidRDefault="00000000" w:rsidRPr="00000000" w14:paraId="00000052">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3rd Grade - 87%</w:t>
      </w:r>
    </w:p>
    <w:p w:rsidR="00000000" w:rsidDel="00000000" w:rsidP="00000000" w:rsidRDefault="00000000" w:rsidRPr="00000000" w14:paraId="00000053">
      <w:pPr>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ab/>
        <w:tab/>
        <w:tab/>
        <w:t xml:space="preserve">4th Grade - 86%</w:t>
      </w:r>
    </w:p>
    <w:p w:rsidR="00000000" w:rsidDel="00000000" w:rsidP="00000000" w:rsidRDefault="00000000" w:rsidRPr="00000000" w14:paraId="00000054">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2"/>
          <w:szCs w:val="22"/>
          <w:highlight w:val="white"/>
          <w:rtl w:val="0"/>
        </w:rPr>
        <w:tab/>
        <w:tab/>
        <w:tab/>
        <w:t xml:space="preserve">5th Grade - 92%</w:t>
      </w:r>
      <w:r w:rsidDel="00000000" w:rsidR="00000000" w:rsidRPr="00000000">
        <w:rPr>
          <w:rtl w:val="0"/>
        </w:rPr>
      </w:r>
    </w:p>
    <w:p w:rsidR="00000000" w:rsidDel="00000000" w:rsidP="00000000" w:rsidRDefault="00000000" w:rsidRPr="00000000" w14:paraId="00000055">
      <w:pPr>
        <w:ind w:left="720" w:firstLine="0"/>
        <w:rPr>
          <w:rFonts w:ascii="Open Sans" w:cs="Open Sans" w:eastAsia="Open Sans" w:hAnsi="Open Sans"/>
          <w:sz w:val="23"/>
          <w:szCs w:val="23"/>
          <w:highlight w:val="white"/>
        </w:rPr>
      </w:pPr>
      <w:r w:rsidDel="00000000" w:rsidR="00000000" w:rsidRPr="00000000">
        <w:rPr>
          <w:rtl w:val="0"/>
        </w:rPr>
      </w:r>
    </w:p>
    <w:p w:rsidR="00000000" w:rsidDel="00000000" w:rsidP="00000000" w:rsidRDefault="00000000" w:rsidRPr="00000000" w14:paraId="00000056">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Spring 2022 - Conferences K-5 - Remote</w:t>
      </w:r>
    </w:p>
    <w:p w:rsidR="00000000" w:rsidDel="00000000" w:rsidP="00000000" w:rsidRDefault="00000000" w:rsidRPr="00000000" w14:paraId="00000057">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TK - 83%</w:t>
      </w:r>
    </w:p>
    <w:p w:rsidR="00000000" w:rsidDel="00000000" w:rsidP="00000000" w:rsidRDefault="00000000" w:rsidRPr="00000000" w14:paraId="00000058">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Kindergarten - 82%</w:t>
      </w:r>
    </w:p>
    <w:p w:rsidR="00000000" w:rsidDel="00000000" w:rsidP="00000000" w:rsidRDefault="00000000" w:rsidRPr="00000000" w14:paraId="00000059">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1st Grade - 97%</w:t>
      </w:r>
    </w:p>
    <w:p w:rsidR="00000000" w:rsidDel="00000000" w:rsidP="00000000" w:rsidRDefault="00000000" w:rsidRPr="00000000" w14:paraId="0000005A">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2nd Grade - 97%</w:t>
      </w:r>
    </w:p>
    <w:p w:rsidR="00000000" w:rsidDel="00000000" w:rsidP="00000000" w:rsidRDefault="00000000" w:rsidRPr="00000000" w14:paraId="0000005B">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3rd Grade - 93%</w:t>
      </w:r>
    </w:p>
    <w:p w:rsidR="00000000" w:rsidDel="00000000" w:rsidP="00000000" w:rsidRDefault="00000000" w:rsidRPr="00000000" w14:paraId="0000005C">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4th Grade - 75%</w:t>
      </w:r>
    </w:p>
    <w:p w:rsidR="00000000" w:rsidDel="00000000" w:rsidP="00000000" w:rsidRDefault="00000000" w:rsidRPr="00000000" w14:paraId="0000005D">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ab/>
        <w:tab/>
        <w:tab/>
        <w:t xml:space="preserve">5th Grade - 87%</w:t>
      </w:r>
    </w:p>
    <w:p w:rsidR="00000000" w:rsidDel="00000000" w:rsidP="00000000" w:rsidRDefault="00000000" w:rsidRPr="00000000" w14:paraId="0000005E">
      <w:pPr>
        <w:ind w:left="720" w:firstLine="0"/>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                  </w:t>
      </w:r>
    </w:p>
    <w:p w:rsidR="00000000" w:rsidDel="00000000" w:rsidP="00000000" w:rsidRDefault="00000000" w:rsidRPr="00000000" w14:paraId="0000005F">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60">
      <w:pPr>
        <w:ind w:right="-360"/>
        <w:rPr>
          <w:rFonts w:ascii="Verdana" w:cs="Verdana" w:eastAsia="Verdana" w:hAnsi="Verdana"/>
          <w:sz w:val="22"/>
          <w:szCs w:val="22"/>
          <w:highlight w:val="white"/>
        </w:rPr>
      </w:pPr>
      <w:r w:rsidDel="00000000" w:rsidR="00000000" w:rsidRPr="00000000">
        <w:rPr>
          <w:rFonts w:ascii="Open Sans" w:cs="Open Sans" w:eastAsia="Open Sans" w:hAnsi="Open Sans"/>
          <w:sz w:val="23"/>
          <w:szCs w:val="23"/>
          <w:highlight w:val="white"/>
          <w:rtl w:val="0"/>
        </w:rPr>
        <w:t xml:space="preserve">Staff at Holland Heights is all about building relationships with their students and their families to best support their growth in learning.  We continue to work to improve our own teaching practices to make sure we are doing what is best for our kids every day.  This year we have started the transition to a Nature Based Elementary school in order to provide our students with more learning opportunities outside of the classroom.  We feel that these experiences will help our students make better connections to their learning.  We have amazing learners that come to school every day excited to learn.  Our families are very supportive of the school and we want to continue to look for ways to strengthen this partnership with them.  We know that together we can make a difference for their child.  I appreciate how the staff goes above and beyond the normal school day in supporting our kids and their families.  We are truly a community of learners at Holland Heights Elementary.</w:t>
      </w:r>
      <w:r w:rsidDel="00000000" w:rsidR="00000000" w:rsidRPr="00000000">
        <w:rPr>
          <w:rtl w:val="0"/>
        </w:rPr>
      </w:r>
    </w:p>
    <w:p w:rsidR="00000000" w:rsidDel="00000000" w:rsidP="00000000" w:rsidRDefault="00000000" w:rsidRPr="00000000" w14:paraId="0000006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Sincerely,</w:t>
      </w:r>
    </w:p>
    <w:p w:rsidR="00000000" w:rsidDel="00000000" w:rsidP="00000000" w:rsidRDefault="00000000" w:rsidRPr="00000000" w14:paraId="00000063">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64">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65">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66">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Kevin Derr </w:t>
      </w:r>
    </w:p>
    <w:p w:rsidR="00000000" w:rsidDel="00000000" w:rsidP="00000000" w:rsidRDefault="00000000" w:rsidRPr="00000000" w14:paraId="00000067">
      <w:pPr>
        <w:rPr>
          <w:rFonts w:ascii="Verdana" w:cs="Verdana" w:eastAsia="Verdana" w:hAnsi="Verdana"/>
          <w:color w:val="000000"/>
          <w:sz w:val="22"/>
          <w:szCs w:val="22"/>
        </w:rPr>
      </w:pPr>
      <w:bookmarkStart w:colFirst="0" w:colLast="0" w:name="_heading=h.gjdgxs" w:id="0"/>
      <w:bookmarkEnd w:id="0"/>
      <w:r w:rsidDel="00000000" w:rsidR="00000000" w:rsidRPr="00000000">
        <w:rPr>
          <w:rFonts w:ascii="Verdana" w:cs="Verdana" w:eastAsia="Verdana" w:hAnsi="Verdana"/>
          <w:color w:val="000000"/>
          <w:sz w:val="22"/>
          <w:szCs w:val="22"/>
          <w:rtl w:val="0"/>
        </w:rPr>
        <w:t xml:space="preserve">Heights Elementary Principal</w:t>
      </w:r>
    </w:p>
    <w:p w:rsidR="00000000" w:rsidDel="00000000" w:rsidP="00000000" w:rsidRDefault="00000000" w:rsidRPr="00000000" w14:paraId="00000068">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higan.gov/mde/0,4615,7-140-28753_64839_65510---,00.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xn9QnGQbDqPvZ3p78Qu3o/bDMQ==">AMUW2mWt2Q/2DX3GgFxI/v4DJu6xl/tGfBiD51J5uVUzwibUR145UAINdFr9un9jWUtL2UPFWkKrh3DTqjbk9BLHWNoIkTEr70u+VORirLPBN6Qbs3KD2HK1Qzwn12e1aasBmZktz65O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2023-01-06T16:47:00Z</dcterms:created>
  <dc:creator>Liliana Figueroa</dc:creator>
</cp:coreProperties>
</file>